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4157" w14:textId="1C3224CD" w:rsidR="00EB6159" w:rsidRDefault="00EB6159" w:rsidP="00EB6159">
      <w:pPr>
        <w:spacing w:after="0" w:line="240" w:lineRule="auto"/>
        <w:jc w:val="center"/>
        <w:rPr>
          <w:rFonts w:ascii="Verdana" w:hAnsi="Verdana"/>
          <w:sz w:val="32"/>
          <w:szCs w:val="32"/>
        </w:rPr>
      </w:pPr>
      <w:r>
        <w:rPr>
          <w:rFonts w:ascii="Verdana" w:hAnsi="Verdana"/>
          <w:sz w:val="32"/>
          <w:szCs w:val="32"/>
        </w:rPr>
        <w:t>The Academic Program Review</w:t>
      </w:r>
      <w:r>
        <w:rPr>
          <w:rFonts w:ascii="Verdana" w:hAnsi="Verdana"/>
          <w:sz w:val="32"/>
          <w:szCs w:val="32"/>
        </w:rPr>
        <w:t xml:space="preserve"> Schedule and </w:t>
      </w:r>
      <w:r w:rsidR="00AE023F">
        <w:rPr>
          <w:rFonts w:ascii="Verdana" w:hAnsi="Verdana"/>
          <w:sz w:val="32"/>
          <w:szCs w:val="32"/>
        </w:rPr>
        <w:t>Review</w:t>
      </w:r>
      <w:r>
        <w:rPr>
          <w:rFonts w:ascii="Verdana" w:hAnsi="Verdana"/>
          <w:sz w:val="32"/>
          <w:szCs w:val="32"/>
        </w:rPr>
        <w:t xml:space="preserve"> Procedures</w:t>
      </w:r>
      <w:r>
        <w:rPr>
          <w:rFonts w:ascii="Verdana" w:hAnsi="Verdana"/>
          <w:sz w:val="32"/>
          <w:szCs w:val="32"/>
        </w:rPr>
        <w:t xml:space="preserve"> </w:t>
      </w:r>
    </w:p>
    <w:p w14:paraId="00D43F8D" w14:textId="77777777" w:rsidR="00EB6159" w:rsidRDefault="00EB6159" w:rsidP="00EB6159">
      <w:pPr>
        <w:rPr>
          <w:rFonts w:ascii="Verdana" w:hAnsi="Verdana"/>
          <w:sz w:val="24"/>
          <w:szCs w:val="24"/>
        </w:rPr>
      </w:pPr>
    </w:p>
    <w:p w14:paraId="6996A351" w14:textId="77777777" w:rsidR="00EB6159" w:rsidRPr="00B63A56" w:rsidRDefault="00EB6159" w:rsidP="00EB6159">
      <w:pPr>
        <w:rPr>
          <w:rFonts w:ascii="Verdana" w:hAnsi="Verdana"/>
          <w:sz w:val="24"/>
          <w:szCs w:val="24"/>
        </w:rPr>
      </w:pPr>
      <w:r>
        <w:rPr>
          <w:rFonts w:ascii="Verdana" w:hAnsi="Verdana"/>
          <w:sz w:val="24"/>
          <w:szCs w:val="24"/>
        </w:rPr>
        <w:t xml:space="preserve">Program/Department reviews are self-studies designed to evaluate the status, effectiveness, and progress of academic programs/departments and help identify the future direction, needs, and priorities of the programs/departments.  The program/department review should describe how faculty use assessment data to evaluate and reform teaching methods/content when necessary to improve student performance.  Please include </w:t>
      </w:r>
      <w:r>
        <w:rPr>
          <w:rFonts w:ascii="Verdana" w:hAnsi="Verdana"/>
          <w:b/>
          <w:bCs/>
          <w:sz w:val="24"/>
          <w:szCs w:val="24"/>
        </w:rPr>
        <w:t>specific</w:t>
      </w:r>
      <w:r>
        <w:rPr>
          <w:rFonts w:ascii="Verdana" w:hAnsi="Verdana"/>
          <w:sz w:val="24"/>
          <w:szCs w:val="24"/>
        </w:rPr>
        <w:t xml:space="preserve"> examples of how faculty have used data to improve teaching practices throughout the review.</w:t>
      </w:r>
    </w:p>
    <w:p w14:paraId="530442E0" w14:textId="77777777" w:rsidR="00EB6159" w:rsidRDefault="00EB6159" w:rsidP="00EB6159">
      <w:pPr>
        <w:rPr>
          <w:rFonts w:ascii="Verdana" w:hAnsi="Verdana"/>
          <w:b/>
          <w:bCs/>
          <w:sz w:val="24"/>
          <w:szCs w:val="24"/>
        </w:rPr>
      </w:pPr>
      <w:r>
        <w:rPr>
          <w:rFonts w:ascii="Verdana" w:hAnsi="Verdana"/>
          <w:b/>
          <w:bCs/>
          <w:sz w:val="24"/>
          <w:szCs w:val="24"/>
        </w:rPr>
        <w:t>Day School:  Each of the professional schools and each department will submit one report to cover day school programs within its respective school or department.  The schedule is as follows.</w:t>
      </w:r>
    </w:p>
    <w:p w14:paraId="6586789E" w14:textId="77777777" w:rsidR="00EB6159" w:rsidRDefault="00EB6159" w:rsidP="00EB6159">
      <w:pPr>
        <w:rPr>
          <w:rFonts w:ascii="Verdana" w:hAnsi="Verdana"/>
          <w:sz w:val="24"/>
          <w:szCs w:val="24"/>
        </w:rPr>
        <w:sectPr w:rsidR="00EB6159" w:rsidSect="00CF7F68">
          <w:pgSz w:w="12240" w:h="15840"/>
          <w:pgMar w:top="720" w:right="720" w:bottom="720" w:left="720" w:header="720" w:footer="720" w:gutter="0"/>
          <w:cols w:space="720"/>
          <w:docGrid w:linePitch="360"/>
        </w:sectPr>
      </w:pPr>
    </w:p>
    <w:p w14:paraId="72CE3F27" w14:textId="77777777" w:rsidR="00EB6159" w:rsidRDefault="00EB6159" w:rsidP="00EB6159">
      <w:pPr>
        <w:rPr>
          <w:rFonts w:ascii="Verdana" w:hAnsi="Verdana"/>
          <w:sz w:val="24"/>
          <w:szCs w:val="24"/>
        </w:rPr>
      </w:pPr>
      <w:r>
        <w:rPr>
          <w:rFonts w:ascii="Verdana" w:hAnsi="Verdana"/>
          <w:sz w:val="24"/>
          <w:szCs w:val="24"/>
        </w:rPr>
        <w:t>Program Reviews due July 1, 2024:</w:t>
      </w:r>
    </w:p>
    <w:p w14:paraId="6D59C1BD" w14:textId="77777777" w:rsidR="00EB6159" w:rsidRDefault="00EB6159" w:rsidP="00EB6159">
      <w:pPr>
        <w:rPr>
          <w:rFonts w:ascii="Verdana" w:hAnsi="Verdana"/>
          <w:sz w:val="24"/>
          <w:szCs w:val="24"/>
        </w:rPr>
      </w:pPr>
      <w:r>
        <w:rPr>
          <w:rFonts w:ascii="Verdana" w:hAnsi="Verdana"/>
          <w:sz w:val="24"/>
          <w:szCs w:val="24"/>
        </w:rPr>
        <w:tab/>
        <w:t>BADM</w:t>
      </w:r>
    </w:p>
    <w:p w14:paraId="276A5231" w14:textId="77777777" w:rsidR="00EB6159" w:rsidRDefault="00EB6159" w:rsidP="00EB6159">
      <w:pPr>
        <w:rPr>
          <w:rFonts w:ascii="Verdana" w:hAnsi="Verdana"/>
          <w:sz w:val="24"/>
          <w:szCs w:val="24"/>
        </w:rPr>
      </w:pPr>
      <w:r>
        <w:rPr>
          <w:rFonts w:ascii="Verdana" w:hAnsi="Verdana"/>
          <w:sz w:val="24"/>
          <w:szCs w:val="24"/>
        </w:rPr>
        <w:tab/>
        <w:t>BSCI</w:t>
      </w:r>
    </w:p>
    <w:p w14:paraId="34DFF63F" w14:textId="77777777" w:rsidR="00EB6159" w:rsidRDefault="00EB6159" w:rsidP="00EB6159">
      <w:pPr>
        <w:rPr>
          <w:rFonts w:ascii="Verdana" w:hAnsi="Verdana"/>
          <w:sz w:val="24"/>
          <w:szCs w:val="24"/>
        </w:rPr>
      </w:pPr>
      <w:r>
        <w:rPr>
          <w:rFonts w:ascii="Verdana" w:hAnsi="Verdana"/>
          <w:sz w:val="24"/>
          <w:szCs w:val="24"/>
        </w:rPr>
        <w:tab/>
        <w:t>COMM</w:t>
      </w:r>
    </w:p>
    <w:p w14:paraId="0EF69D91" w14:textId="77777777" w:rsidR="00EB6159" w:rsidRDefault="00EB6159" w:rsidP="00EB6159">
      <w:pPr>
        <w:ind w:firstLine="720"/>
        <w:rPr>
          <w:rFonts w:ascii="Verdana" w:hAnsi="Verdana"/>
          <w:sz w:val="24"/>
          <w:szCs w:val="24"/>
        </w:rPr>
      </w:pPr>
      <w:r>
        <w:rPr>
          <w:rFonts w:ascii="Verdana" w:hAnsi="Verdana"/>
          <w:sz w:val="24"/>
          <w:szCs w:val="24"/>
        </w:rPr>
        <w:t>EDUC</w:t>
      </w:r>
    </w:p>
    <w:p w14:paraId="26076C83" w14:textId="77777777" w:rsidR="00EB6159" w:rsidRDefault="00EB6159" w:rsidP="00EB6159">
      <w:pPr>
        <w:rPr>
          <w:rFonts w:ascii="Verdana" w:hAnsi="Verdana"/>
          <w:sz w:val="24"/>
          <w:szCs w:val="24"/>
        </w:rPr>
      </w:pPr>
      <w:r>
        <w:rPr>
          <w:rFonts w:ascii="Verdana" w:hAnsi="Verdana"/>
          <w:sz w:val="24"/>
          <w:szCs w:val="24"/>
        </w:rPr>
        <w:tab/>
        <w:t>FUSION</w:t>
      </w:r>
      <w:r>
        <w:rPr>
          <w:rFonts w:ascii="Verdana" w:hAnsi="Verdana"/>
          <w:sz w:val="24"/>
          <w:szCs w:val="24"/>
        </w:rPr>
        <w:tab/>
      </w:r>
    </w:p>
    <w:p w14:paraId="05DAB735" w14:textId="77777777" w:rsidR="00EB6159" w:rsidRDefault="00EB6159" w:rsidP="00EB6159">
      <w:pPr>
        <w:rPr>
          <w:rFonts w:ascii="Verdana" w:hAnsi="Verdana"/>
          <w:sz w:val="24"/>
          <w:szCs w:val="24"/>
        </w:rPr>
      </w:pPr>
      <w:r>
        <w:rPr>
          <w:rFonts w:ascii="Verdana" w:hAnsi="Verdana"/>
          <w:sz w:val="24"/>
          <w:szCs w:val="24"/>
        </w:rPr>
        <w:tab/>
        <w:t>HPRL</w:t>
      </w:r>
    </w:p>
    <w:p w14:paraId="32B32906" w14:textId="77777777" w:rsidR="00EB6159" w:rsidRDefault="00EB6159" w:rsidP="00EB6159">
      <w:pPr>
        <w:rPr>
          <w:rFonts w:ascii="Verdana" w:hAnsi="Verdana"/>
          <w:sz w:val="24"/>
          <w:szCs w:val="24"/>
        </w:rPr>
      </w:pPr>
      <w:r>
        <w:rPr>
          <w:rFonts w:ascii="Verdana" w:hAnsi="Verdana"/>
          <w:sz w:val="24"/>
          <w:szCs w:val="24"/>
        </w:rPr>
        <w:tab/>
        <w:t>MUSC</w:t>
      </w:r>
    </w:p>
    <w:p w14:paraId="1E398A92" w14:textId="77777777" w:rsidR="00EB6159" w:rsidRDefault="00EB6159" w:rsidP="00EB6159">
      <w:pPr>
        <w:rPr>
          <w:rFonts w:ascii="Verdana" w:hAnsi="Verdana"/>
          <w:sz w:val="24"/>
          <w:szCs w:val="24"/>
        </w:rPr>
      </w:pPr>
      <w:r>
        <w:rPr>
          <w:rFonts w:ascii="Verdana" w:hAnsi="Verdana"/>
          <w:sz w:val="24"/>
          <w:szCs w:val="24"/>
        </w:rPr>
        <w:tab/>
        <w:t>Study Abroad</w:t>
      </w:r>
    </w:p>
    <w:p w14:paraId="2085D024" w14:textId="77777777" w:rsidR="00EB6159" w:rsidRDefault="00EB6159" w:rsidP="00EB6159">
      <w:pPr>
        <w:rPr>
          <w:rFonts w:ascii="Verdana" w:hAnsi="Verdana"/>
          <w:sz w:val="24"/>
          <w:szCs w:val="24"/>
        </w:rPr>
      </w:pPr>
      <w:r>
        <w:rPr>
          <w:rFonts w:ascii="Verdana" w:hAnsi="Verdana"/>
          <w:sz w:val="24"/>
          <w:szCs w:val="24"/>
        </w:rPr>
        <w:t>Program Reviews due by July 1, 2025:</w:t>
      </w:r>
    </w:p>
    <w:p w14:paraId="488ECB65" w14:textId="77777777" w:rsidR="00EB6159" w:rsidRDefault="00EB6159" w:rsidP="00EB6159">
      <w:pPr>
        <w:ind w:left="720"/>
        <w:rPr>
          <w:rFonts w:ascii="Verdana" w:hAnsi="Verdana"/>
          <w:sz w:val="24"/>
          <w:szCs w:val="24"/>
        </w:rPr>
      </w:pPr>
      <w:r>
        <w:rPr>
          <w:rFonts w:ascii="Verdana" w:hAnsi="Verdana"/>
          <w:sz w:val="24"/>
          <w:szCs w:val="24"/>
        </w:rPr>
        <w:t>ARCH</w:t>
      </w:r>
    </w:p>
    <w:p w14:paraId="291DC51F" w14:textId="77777777" w:rsidR="00EB6159" w:rsidRDefault="00EB6159" w:rsidP="00EB6159">
      <w:pPr>
        <w:ind w:left="720"/>
        <w:rPr>
          <w:rFonts w:ascii="Verdana" w:hAnsi="Verdana"/>
          <w:sz w:val="24"/>
          <w:szCs w:val="24"/>
        </w:rPr>
      </w:pPr>
      <w:r>
        <w:rPr>
          <w:rFonts w:ascii="Verdana" w:hAnsi="Verdana"/>
          <w:sz w:val="24"/>
          <w:szCs w:val="24"/>
        </w:rPr>
        <w:t>ARTZ</w:t>
      </w:r>
    </w:p>
    <w:p w14:paraId="76201185" w14:textId="77777777" w:rsidR="00EB6159" w:rsidRDefault="00EB6159" w:rsidP="00EB6159">
      <w:pPr>
        <w:ind w:left="720"/>
        <w:rPr>
          <w:rFonts w:ascii="Verdana" w:hAnsi="Verdana"/>
          <w:sz w:val="24"/>
          <w:szCs w:val="24"/>
        </w:rPr>
      </w:pPr>
      <w:r>
        <w:rPr>
          <w:rFonts w:ascii="Verdana" w:hAnsi="Verdana"/>
          <w:sz w:val="24"/>
          <w:szCs w:val="24"/>
        </w:rPr>
        <w:t>BIOL</w:t>
      </w:r>
    </w:p>
    <w:p w14:paraId="474D24A9" w14:textId="77777777" w:rsidR="00EB6159" w:rsidRDefault="00EB6159" w:rsidP="00EB6159">
      <w:pPr>
        <w:ind w:left="720"/>
        <w:rPr>
          <w:rFonts w:ascii="Verdana" w:hAnsi="Verdana"/>
          <w:sz w:val="24"/>
          <w:szCs w:val="24"/>
        </w:rPr>
      </w:pPr>
      <w:r>
        <w:rPr>
          <w:rFonts w:ascii="Verdana" w:hAnsi="Verdana"/>
          <w:sz w:val="24"/>
          <w:szCs w:val="24"/>
        </w:rPr>
        <w:t>CHEM</w:t>
      </w:r>
    </w:p>
    <w:p w14:paraId="75843F48" w14:textId="77777777" w:rsidR="00EB6159" w:rsidRDefault="00EB6159" w:rsidP="00EB6159">
      <w:pPr>
        <w:ind w:left="720"/>
        <w:rPr>
          <w:rFonts w:ascii="Verdana" w:hAnsi="Verdana"/>
          <w:sz w:val="24"/>
          <w:szCs w:val="24"/>
        </w:rPr>
      </w:pPr>
      <w:r>
        <w:rPr>
          <w:rFonts w:ascii="Verdana" w:hAnsi="Verdana"/>
          <w:sz w:val="24"/>
          <w:szCs w:val="24"/>
        </w:rPr>
        <w:t>HONORS</w:t>
      </w:r>
    </w:p>
    <w:p w14:paraId="6D7CAFD4" w14:textId="77777777" w:rsidR="00EB6159" w:rsidRDefault="00EB6159" w:rsidP="00EB6159">
      <w:pPr>
        <w:ind w:left="720"/>
        <w:rPr>
          <w:rFonts w:ascii="Verdana" w:hAnsi="Verdana"/>
          <w:sz w:val="24"/>
          <w:szCs w:val="24"/>
        </w:rPr>
      </w:pPr>
      <w:r>
        <w:rPr>
          <w:rFonts w:ascii="Verdana" w:hAnsi="Verdana"/>
          <w:sz w:val="24"/>
          <w:szCs w:val="24"/>
        </w:rPr>
        <w:t>LLIT</w:t>
      </w:r>
    </w:p>
    <w:p w14:paraId="63724FD3" w14:textId="77777777" w:rsidR="00EB6159" w:rsidRDefault="00EB6159" w:rsidP="00EB6159">
      <w:pPr>
        <w:ind w:left="720"/>
        <w:rPr>
          <w:rFonts w:ascii="Verdana" w:hAnsi="Verdana"/>
          <w:sz w:val="24"/>
          <w:szCs w:val="24"/>
        </w:rPr>
      </w:pPr>
      <w:r>
        <w:rPr>
          <w:rFonts w:ascii="Verdana" w:hAnsi="Verdana"/>
          <w:sz w:val="24"/>
          <w:szCs w:val="24"/>
        </w:rPr>
        <w:t>PLSC</w:t>
      </w:r>
    </w:p>
    <w:p w14:paraId="336D3C93" w14:textId="77777777" w:rsidR="00EB6159" w:rsidRDefault="00EB6159" w:rsidP="00EB6159">
      <w:pPr>
        <w:ind w:left="720"/>
        <w:rPr>
          <w:rFonts w:ascii="Verdana" w:hAnsi="Verdana"/>
          <w:sz w:val="24"/>
          <w:szCs w:val="24"/>
        </w:rPr>
      </w:pPr>
      <w:r>
        <w:rPr>
          <w:rFonts w:ascii="Verdana" w:hAnsi="Verdana"/>
          <w:sz w:val="24"/>
          <w:szCs w:val="24"/>
        </w:rPr>
        <w:t>THTR</w:t>
      </w:r>
    </w:p>
    <w:p w14:paraId="00B9B4F7" w14:textId="77777777" w:rsidR="00EB6159" w:rsidRDefault="00EB6159" w:rsidP="00EB6159">
      <w:pPr>
        <w:rPr>
          <w:rFonts w:ascii="Verdana" w:hAnsi="Verdana"/>
          <w:sz w:val="24"/>
          <w:szCs w:val="24"/>
        </w:rPr>
        <w:sectPr w:rsidR="00EB6159" w:rsidSect="005F16AE">
          <w:type w:val="continuous"/>
          <w:pgSz w:w="12240" w:h="15840"/>
          <w:pgMar w:top="720" w:right="720" w:bottom="720" w:left="720" w:header="720" w:footer="720" w:gutter="0"/>
          <w:cols w:num="2" w:space="720"/>
          <w:docGrid w:linePitch="360"/>
        </w:sectPr>
      </w:pPr>
    </w:p>
    <w:p w14:paraId="6F6007DF" w14:textId="77777777" w:rsidR="00EB6159" w:rsidRDefault="00EB6159" w:rsidP="00EB6159">
      <w:pPr>
        <w:rPr>
          <w:rFonts w:ascii="Verdana" w:hAnsi="Verdana"/>
          <w:b/>
          <w:bCs/>
          <w:sz w:val="24"/>
          <w:szCs w:val="24"/>
        </w:rPr>
      </w:pPr>
      <w:r>
        <w:rPr>
          <w:rFonts w:ascii="Verdana" w:hAnsi="Verdana"/>
          <w:b/>
          <w:bCs/>
          <w:sz w:val="24"/>
          <w:szCs w:val="24"/>
        </w:rPr>
        <w:t>Drury GO (CCPS): Reports will be submitted for the general education, each program in Drury GO that does not have an equivalent in the day school, and for BSCI.  (BADM and EDUC included Drury GO in the report they submitted for day school.)  The schedule is as follows.</w:t>
      </w:r>
    </w:p>
    <w:p w14:paraId="521AF34B" w14:textId="77777777" w:rsidR="00EB6159" w:rsidRDefault="00EB6159" w:rsidP="00EB6159">
      <w:pPr>
        <w:rPr>
          <w:rFonts w:ascii="Verdana" w:hAnsi="Verdana"/>
          <w:sz w:val="24"/>
          <w:szCs w:val="24"/>
        </w:rPr>
        <w:sectPr w:rsidR="00EB6159" w:rsidSect="005F16AE">
          <w:type w:val="continuous"/>
          <w:pgSz w:w="12240" w:h="15840"/>
          <w:pgMar w:top="720" w:right="720" w:bottom="720" w:left="720" w:header="720" w:footer="720" w:gutter="0"/>
          <w:cols w:space="720"/>
          <w:docGrid w:linePitch="360"/>
        </w:sectPr>
      </w:pPr>
    </w:p>
    <w:p w14:paraId="6EF45E3C" w14:textId="77777777" w:rsidR="00EB6159" w:rsidRDefault="00EB6159" w:rsidP="00EB6159">
      <w:pPr>
        <w:rPr>
          <w:rFonts w:ascii="Verdana" w:hAnsi="Verdana"/>
          <w:sz w:val="24"/>
          <w:szCs w:val="24"/>
        </w:rPr>
      </w:pPr>
      <w:r>
        <w:rPr>
          <w:rFonts w:ascii="Verdana" w:hAnsi="Verdana"/>
          <w:sz w:val="24"/>
          <w:szCs w:val="24"/>
        </w:rPr>
        <w:t>Program Reviews due July 1, 2024:</w:t>
      </w:r>
    </w:p>
    <w:p w14:paraId="2FD00368" w14:textId="77777777" w:rsidR="00EB6159" w:rsidRDefault="00EB6159" w:rsidP="00EB6159">
      <w:pPr>
        <w:rPr>
          <w:rFonts w:ascii="Verdana" w:hAnsi="Verdana"/>
          <w:sz w:val="24"/>
          <w:szCs w:val="24"/>
        </w:rPr>
      </w:pPr>
      <w:r>
        <w:rPr>
          <w:rFonts w:ascii="Verdana" w:hAnsi="Verdana"/>
          <w:sz w:val="24"/>
          <w:szCs w:val="24"/>
        </w:rPr>
        <w:tab/>
        <w:t>General Education</w:t>
      </w:r>
    </w:p>
    <w:p w14:paraId="5A1F7DED" w14:textId="77777777" w:rsidR="00EB6159" w:rsidRDefault="00EB6159" w:rsidP="00EB6159">
      <w:pPr>
        <w:rPr>
          <w:rFonts w:ascii="Verdana" w:hAnsi="Verdana"/>
          <w:sz w:val="24"/>
          <w:szCs w:val="24"/>
        </w:rPr>
      </w:pPr>
      <w:r>
        <w:rPr>
          <w:rFonts w:ascii="Verdana" w:hAnsi="Verdana"/>
          <w:sz w:val="24"/>
          <w:szCs w:val="24"/>
        </w:rPr>
        <w:tab/>
      </w:r>
    </w:p>
    <w:p w14:paraId="052EE270" w14:textId="77777777" w:rsidR="00EB6159" w:rsidRDefault="00EB6159" w:rsidP="00EB6159">
      <w:pPr>
        <w:rPr>
          <w:rFonts w:ascii="Verdana" w:hAnsi="Verdana"/>
          <w:sz w:val="24"/>
          <w:szCs w:val="24"/>
        </w:rPr>
      </w:pPr>
    </w:p>
    <w:p w14:paraId="72B1A765" w14:textId="77777777" w:rsidR="00EB6159" w:rsidRDefault="00EB6159" w:rsidP="00EB6159">
      <w:pPr>
        <w:rPr>
          <w:rFonts w:ascii="Verdana" w:hAnsi="Verdana"/>
          <w:sz w:val="24"/>
          <w:szCs w:val="24"/>
        </w:rPr>
      </w:pPr>
    </w:p>
    <w:p w14:paraId="246FBD30" w14:textId="77777777" w:rsidR="00EB6159" w:rsidRDefault="00EB6159" w:rsidP="00EB6159">
      <w:pPr>
        <w:rPr>
          <w:rFonts w:ascii="Verdana" w:hAnsi="Verdana"/>
          <w:sz w:val="24"/>
          <w:szCs w:val="24"/>
        </w:rPr>
      </w:pPr>
    </w:p>
    <w:p w14:paraId="6DB998B3" w14:textId="77777777" w:rsidR="00EB6159" w:rsidRDefault="00EB6159" w:rsidP="00EB6159">
      <w:pPr>
        <w:rPr>
          <w:rFonts w:ascii="Verdana" w:hAnsi="Verdana"/>
          <w:sz w:val="24"/>
          <w:szCs w:val="24"/>
        </w:rPr>
      </w:pPr>
      <w:r>
        <w:rPr>
          <w:rFonts w:ascii="Verdana" w:hAnsi="Verdana"/>
          <w:sz w:val="24"/>
          <w:szCs w:val="24"/>
        </w:rPr>
        <w:t>Program Reviews due by July 1, 2025:</w:t>
      </w:r>
    </w:p>
    <w:p w14:paraId="04240910" w14:textId="77777777" w:rsidR="00EB6159" w:rsidRDefault="00EB6159" w:rsidP="00EB6159">
      <w:pPr>
        <w:ind w:left="720"/>
        <w:rPr>
          <w:rFonts w:ascii="Verdana" w:hAnsi="Verdana"/>
          <w:sz w:val="24"/>
          <w:szCs w:val="24"/>
        </w:rPr>
      </w:pPr>
      <w:r>
        <w:rPr>
          <w:rFonts w:ascii="Verdana" w:hAnsi="Verdana"/>
          <w:sz w:val="24"/>
          <w:szCs w:val="24"/>
        </w:rPr>
        <w:t>BSCI</w:t>
      </w:r>
    </w:p>
    <w:p w14:paraId="757C4C01" w14:textId="77777777" w:rsidR="00EB6159" w:rsidRDefault="00EB6159" w:rsidP="00EB6159">
      <w:pPr>
        <w:ind w:left="720"/>
        <w:rPr>
          <w:rFonts w:ascii="Verdana" w:hAnsi="Verdana"/>
          <w:sz w:val="24"/>
          <w:szCs w:val="24"/>
        </w:rPr>
      </w:pPr>
      <w:r>
        <w:rPr>
          <w:rFonts w:ascii="Verdana" w:hAnsi="Verdana"/>
          <w:sz w:val="24"/>
          <w:szCs w:val="24"/>
        </w:rPr>
        <w:t>EMMT</w:t>
      </w:r>
    </w:p>
    <w:p w14:paraId="3C7CAE1C" w14:textId="77777777" w:rsidR="00EB6159" w:rsidRDefault="00EB6159" w:rsidP="00EB6159">
      <w:pPr>
        <w:ind w:left="720"/>
        <w:rPr>
          <w:rFonts w:ascii="Verdana" w:hAnsi="Verdana"/>
          <w:sz w:val="24"/>
          <w:szCs w:val="24"/>
        </w:rPr>
      </w:pPr>
      <w:r>
        <w:rPr>
          <w:rFonts w:ascii="Verdana" w:hAnsi="Verdana"/>
          <w:sz w:val="24"/>
          <w:szCs w:val="24"/>
        </w:rPr>
        <w:t>GSTU</w:t>
      </w:r>
    </w:p>
    <w:p w14:paraId="163049CE" w14:textId="77777777" w:rsidR="00EB6159" w:rsidRDefault="00EB6159" w:rsidP="00EB6159">
      <w:pPr>
        <w:rPr>
          <w:rFonts w:ascii="Verdana" w:hAnsi="Verdana"/>
          <w:sz w:val="24"/>
          <w:szCs w:val="24"/>
        </w:rPr>
      </w:pPr>
      <w:r>
        <w:rPr>
          <w:rFonts w:ascii="Verdana" w:hAnsi="Verdana"/>
          <w:sz w:val="24"/>
          <w:szCs w:val="24"/>
        </w:rPr>
        <w:tab/>
        <w:t>HSM</w:t>
      </w:r>
    </w:p>
    <w:p w14:paraId="558C3150" w14:textId="77777777" w:rsidR="00EB6159" w:rsidRDefault="00EB6159" w:rsidP="00EB6159">
      <w:pPr>
        <w:ind w:left="720"/>
        <w:rPr>
          <w:rFonts w:ascii="Verdana" w:hAnsi="Verdana"/>
          <w:sz w:val="24"/>
          <w:szCs w:val="24"/>
        </w:rPr>
      </w:pPr>
      <w:r>
        <w:rPr>
          <w:rFonts w:ascii="Verdana" w:hAnsi="Verdana"/>
          <w:sz w:val="24"/>
          <w:szCs w:val="24"/>
        </w:rPr>
        <w:t>LDST</w:t>
      </w:r>
    </w:p>
    <w:p w14:paraId="7E4C9CDB" w14:textId="77777777" w:rsidR="00EB6159" w:rsidRDefault="00EB6159" w:rsidP="00EB6159">
      <w:pPr>
        <w:rPr>
          <w:rFonts w:ascii="Verdana" w:hAnsi="Verdana"/>
          <w:b/>
          <w:bCs/>
          <w:sz w:val="24"/>
          <w:szCs w:val="24"/>
        </w:rPr>
        <w:sectPr w:rsidR="00EB6159" w:rsidSect="00793812">
          <w:type w:val="continuous"/>
          <w:pgSz w:w="12240" w:h="15840"/>
          <w:pgMar w:top="720" w:right="720" w:bottom="720" w:left="720" w:header="720" w:footer="720" w:gutter="0"/>
          <w:cols w:num="2" w:space="720"/>
          <w:docGrid w:linePitch="360"/>
        </w:sectPr>
      </w:pPr>
    </w:p>
    <w:p w14:paraId="5C2A72BF" w14:textId="77777777" w:rsidR="00EB6159" w:rsidRPr="00275713" w:rsidRDefault="00EB6159" w:rsidP="00EB6159">
      <w:pPr>
        <w:rPr>
          <w:rFonts w:ascii="Verdana" w:hAnsi="Verdana"/>
          <w:b/>
          <w:bCs/>
          <w:sz w:val="24"/>
          <w:szCs w:val="24"/>
        </w:rPr>
      </w:pPr>
    </w:p>
    <w:p w14:paraId="6380E685" w14:textId="77777777" w:rsidR="00EB6159" w:rsidRDefault="00EB6159" w:rsidP="00EB6159">
      <w:pPr>
        <w:rPr>
          <w:rFonts w:ascii="Verdana" w:hAnsi="Verdana"/>
          <w:sz w:val="24"/>
          <w:szCs w:val="24"/>
        </w:rPr>
      </w:pPr>
      <w:r>
        <w:rPr>
          <w:rFonts w:ascii="Verdana" w:hAnsi="Verdana"/>
          <w:b/>
          <w:bCs/>
          <w:sz w:val="24"/>
          <w:szCs w:val="24"/>
        </w:rPr>
        <w:t>Graduate Programs:  A report will be submitted for each of the following Graduate Programs as indicated. (BADM and EDUC included their Graduate programs in the report they submitted for day school.)  Due to major restructuring in many graduate programs, the cycle differs from the rest of the university</w:t>
      </w:r>
    </w:p>
    <w:p w14:paraId="6318740D" w14:textId="77777777" w:rsidR="00EB6159" w:rsidRDefault="00EB6159" w:rsidP="00EB6159">
      <w:pPr>
        <w:rPr>
          <w:rFonts w:ascii="Verdana" w:hAnsi="Verdana"/>
          <w:sz w:val="24"/>
          <w:szCs w:val="24"/>
        </w:rPr>
      </w:pPr>
      <w:r>
        <w:rPr>
          <w:rFonts w:ascii="Verdana" w:hAnsi="Verdana"/>
          <w:sz w:val="24"/>
          <w:szCs w:val="24"/>
        </w:rPr>
        <w:t>Program Reviews due July 1, 2026:</w:t>
      </w:r>
    </w:p>
    <w:p w14:paraId="3C28FA9A" w14:textId="77777777" w:rsidR="00EB6159" w:rsidRDefault="00EB6159" w:rsidP="00EB6159">
      <w:pPr>
        <w:rPr>
          <w:rFonts w:ascii="Verdana" w:hAnsi="Verdana"/>
          <w:sz w:val="24"/>
          <w:szCs w:val="24"/>
        </w:rPr>
      </w:pPr>
      <w:r>
        <w:rPr>
          <w:rFonts w:ascii="Verdana" w:hAnsi="Verdana"/>
          <w:sz w:val="24"/>
          <w:szCs w:val="24"/>
        </w:rPr>
        <w:t>COMM</w:t>
      </w:r>
    </w:p>
    <w:p w14:paraId="0B22C4A9" w14:textId="77777777" w:rsidR="00EB6159" w:rsidRDefault="00EB6159" w:rsidP="00EB6159">
      <w:pPr>
        <w:rPr>
          <w:rFonts w:ascii="Verdana" w:hAnsi="Verdana"/>
          <w:sz w:val="24"/>
          <w:szCs w:val="24"/>
        </w:rPr>
      </w:pPr>
      <w:r>
        <w:rPr>
          <w:rFonts w:ascii="Verdana" w:hAnsi="Verdana"/>
          <w:sz w:val="24"/>
          <w:szCs w:val="24"/>
        </w:rPr>
        <w:t>DEIL</w:t>
      </w:r>
    </w:p>
    <w:p w14:paraId="4FDF2B49" w14:textId="77777777" w:rsidR="00EB6159" w:rsidRDefault="00EB6159" w:rsidP="00EB6159">
      <w:pPr>
        <w:rPr>
          <w:rFonts w:ascii="Verdana" w:hAnsi="Verdana"/>
          <w:sz w:val="24"/>
          <w:szCs w:val="24"/>
        </w:rPr>
      </w:pPr>
      <w:r>
        <w:rPr>
          <w:rFonts w:ascii="Verdana" w:hAnsi="Verdana"/>
          <w:sz w:val="24"/>
          <w:szCs w:val="24"/>
        </w:rPr>
        <w:t>MNCL</w:t>
      </w:r>
    </w:p>
    <w:p w14:paraId="3F8C6995" w14:textId="77777777" w:rsidR="00EB6159" w:rsidRDefault="00EB6159" w:rsidP="00EB6159">
      <w:pPr>
        <w:rPr>
          <w:rFonts w:ascii="Verdana" w:hAnsi="Verdana"/>
          <w:sz w:val="24"/>
          <w:szCs w:val="24"/>
        </w:rPr>
      </w:pPr>
      <w:r>
        <w:rPr>
          <w:rFonts w:ascii="Verdana" w:hAnsi="Verdana"/>
          <w:sz w:val="24"/>
          <w:szCs w:val="24"/>
        </w:rPr>
        <w:t>PSSL</w:t>
      </w:r>
    </w:p>
    <w:p w14:paraId="08BB5FB6" w14:textId="77777777" w:rsidR="00EB6159" w:rsidRDefault="00EB6159" w:rsidP="00EB6159">
      <w:pPr>
        <w:rPr>
          <w:rFonts w:ascii="Verdana" w:hAnsi="Verdana"/>
          <w:sz w:val="24"/>
          <w:szCs w:val="24"/>
        </w:rPr>
      </w:pPr>
    </w:p>
    <w:p w14:paraId="17536FC8" w14:textId="77777777" w:rsidR="00EB6159" w:rsidRDefault="00EB6159" w:rsidP="00EB6159">
      <w:pPr>
        <w:rPr>
          <w:rFonts w:ascii="Verdana" w:hAnsi="Verdana"/>
          <w:sz w:val="24"/>
          <w:szCs w:val="24"/>
        </w:rPr>
      </w:pPr>
      <w:r>
        <w:rPr>
          <w:rFonts w:ascii="Verdana" w:hAnsi="Verdana"/>
          <w:b/>
          <w:bCs/>
          <w:sz w:val="24"/>
          <w:szCs w:val="24"/>
        </w:rPr>
        <w:t>Evaluation of Program Reviews</w:t>
      </w:r>
      <w:r>
        <w:rPr>
          <w:rFonts w:ascii="Verdana" w:hAnsi="Verdana"/>
          <w:sz w:val="24"/>
          <w:szCs w:val="24"/>
        </w:rPr>
        <w:t>:</w:t>
      </w:r>
    </w:p>
    <w:p w14:paraId="76F41B01" w14:textId="77777777" w:rsidR="00EB6159" w:rsidRDefault="00EB6159" w:rsidP="00EB6159">
      <w:pPr>
        <w:rPr>
          <w:rFonts w:ascii="Verdana" w:hAnsi="Verdana"/>
          <w:sz w:val="24"/>
          <w:szCs w:val="24"/>
        </w:rPr>
      </w:pPr>
      <w:r>
        <w:rPr>
          <w:rFonts w:ascii="Verdana" w:hAnsi="Verdana"/>
          <w:sz w:val="24"/>
          <w:szCs w:val="24"/>
        </w:rPr>
        <w:t xml:space="preserve">All day school program reviews are reviewed by OAA, a collection of deans and chairs from across the campus, and the Academic Affairs Committee.  </w:t>
      </w:r>
    </w:p>
    <w:p w14:paraId="0DBCDCEB" w14:textId="77777777" w:rsidR="00EB6159" w:rsidRDefault="00EB6159" w:rsidP="00EB6159">
      <w:pPr>
        <w:rPr>
          <w:rFonts w:ascii="Verdana" w:hAnsi="Verdana"/>
          <w:sz w:val="24"/>
          <w:szCs w:val="24"/>
        </w:rPr>
      </w:pPr>
      <w:r>
        <w:rPr>
          <w:rFonts w:ascii="Verdana" w:hAnsi="Verdana"/>
          <w:sz w:val="24"/>
          <w:szCs w:val="24"/>
        </w:rPr>
        <w:t>All Drury GO program reviews are reviewed by OAA, a collection of Drury GO faculty, and the Continuing Studies Council.</w:t>
      </w:r>
    </w:p>
    <w:p w14:paraId="2173D80C" w14:textId="77777777" w:rsidR="00EB6159" w:rsidRPr="00F338A0" w:rsidRDefault="00EB6159" w:rsidP="00EB6159">
      <w:pPr>
        <w:rPr>
          <w:rFonts w:ascii="Verdana" w:hAnsi="Verdana"/>
          <w:sz w:val="24"/>
          <w:szCs w:val="24"/>
        </w:rPr>
      </w:pPr>
      <w:r>
        <w:rPr>
          <w:rFonts w:ascii="Verdana" w:hAnsi="Verdana"/>
          <w:sz w:val="24"/>
          <w:szCs w:val="24"/>
        </w:rPr>
        <w:t xml:space="preserve">All Graduate program reviews are reviewed by OAA, a collection of Graduate </w:t>
      </w:r>
      <w:proofErr w:type="gramStart"/>
      <w:r>
        <w:rPr>
          <w:rFonts w:ascii="Verdana" w:hAnsi="Verdana"/>
          <w:sz w:val="24"/>
          <w:szCs w:val="24"/>
        </w:rPr>
        <w:t>faculty</w:t>
      </w:r>
      <w:proofErr w:type="gramEnd"/>
      <w:r>
        <w:rPr>
          <w:rFonts w:ascii="Verdana" w:hAnsi="Verdana"/>
          <w:sz w:val="24"/>
          <w:szCs w:val="24"/>
        </w:rPr>
        <w:t>, and the Graduate Council.</w:t>
      </w:r>
    </w:p>
    <w:p w14:paraId="3021FDB0" w14:textId="03CC615E" w:rsidR="008D58B2" w:rsidRPr="00EB6159" w:rsidRDefault="008D58B2">
      <w:pPr>
        <w:rPr>
          <w:rFonts w:ascii="Verdana" w:hAnsi="Verdana"/>
          <w:sz w:val="24"/>
          <w:szCs w:val="24"/>
        </w:rPr>
      </w:pPr>
    </w:p>
    <w:sectPr w:rsidR="008D58B2" w:rsidRPr="00EB6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59"/>
    <w:rsid w:val="008D58B2"/>
    <w:rsid w:val="00AE023F"/>
    <w:rsid w:val="00B3195E"/>
    <w:rsid w:val="00EB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A4C3"/>
  <w15:chartTrackingRefBased/>
  <w15:docId w15:val="{2DCD955D-B732-4DFA-B8A5-77F74EF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Blakey</dc:creator>
  <cp:keywords/>
  <dc:description/>
  <cp:lastModifiedBy>Leah Blakey</cp:lastModifiedBy>
  <cp:revision>3</cp:revision>
  <dcterms:created xsi:type="dcterms:W3CDTF">2025-04-28T16:13:00Z</dcterms:created>
  <dcterms:modified xsi:type="dcterms:W3CDTF">2025-04-28T16:15:00Z</dcterms:modified>
</cp:coreProperties>
</file>