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FB6C" w14:textId="77777777" w:rsidR="00B322A8" w:rsidRDefault="007C217B" w:rsidP="007C217B">
      <w:pPr>
        <w:spacing w:before="2"/>
        <w:jc w:val="center"/>
        <w:rPr>
          <w:rFonts w:ascii="Calibri" w:eastAsia="Calibri" w:hAnsi="Calibri" w:cs="Calibri"/>
          <w:b/>
          <w:bCs/>
          <w:sz w:val="19"/>
          <w:szCs w:val="19"/>
        </w:rPr>
      </w:pPr>
      <w:bookmarkStart w:id="0" w:name="_GoBack"/>
      <w:bookmarkEnd w:id="0"/>
      <w:r>
        <w:rPr>
          <w:rFonts w:ascii="Calibri" w:eastAsia="Calibri" w:hAnsi="Calibri" w:cs="Calibri"/>
          <w:b/>
          <w:bCs/>
          <w:noProof/>
          <w:sz w:val="23"/>
          <w:szCs w:val="23"/>
        </w:rPr>
        <w:drawing>
          <wp:inline distT="0" distB="0" distL="0" distR="0" wp14:anchorId="6EA8C29E" wp14:editId="5B3F0D86">
            <wp:extent cx="2263140" cy="313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ryHorizonta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7194" cy="315711"/>
                    </a:xfrm>
                    <a:prstGeom prst="rect">
                      <a:avLst/>
                    </a:prstGeom>
                  </pic:spPr>
                </pic:pic>
              </a:graphicData>
            </a:graphic>
          </wp:inline>
        </w:drawing>
      </w:r>
    </w:p>
    <w:p w14:paraId="50862591" w14:textId="77777777" w:rsidR="00477B22" w:rsidRDefault="00477B22" w:rsidP="007C217B">
      <w:pPr>
        <w:spacing w:before="5"/>
        <w:jc w:val="center"/>
        <w:rPr>
          <w:rFonts w:ascii="Calibri" w:eastAsia="Calibri" w:hAnsi="Calibri" w:cs="Calibri"/>
          <w:b/>
          <w:bCs/>
          <w:sz w:val="23"/>
          <w:szCs w:val="23"/>
        </w:rPr>
      </w:pPr>
    </w:p>
    <w:p w14:paraId="455C0285" w14:textId="3C1CA1F4" w:rsidR="007C217B" w:rsidRPr="00477B22" w:rsidRDefault="00477B22" w:rsidP="007C217B">
      <w:pPr>
        <w:spacing w:before="5"/>
        <w:jc w:val="center"/>
        <w:rPr>
          <w:rFonts w:ascii="Times New Roman" w:eastAsia="Calibri" w:hAnsi="Times New Roman" w:cs="Times New Roman"/>
          <w:b/>
          <w:bCs/>
          <w:sz w:val="24"/>
          <w:szCs w:val="24"/>
        </w:rPr>
      </w:pPr>
      <w:r w:rsidRPr="00477B22">
        <w:rPr>
          <w:rFonts w:ascii="Times New Roman" w:eastAsia="Calibri" w:hAnsi="Times New Roman" w:cs="Times New Roman"/>
          <w:b/>
          <w:bCs/>
          <w:sz w:val="24"/>
          <w:szCs w:val="24"/>
        </w:rPr>
        <w:t xml:space="preserve">Department </w:t>
      </w:r>
      <w:r w:rsidR="001F42DE">
        <w:rPr>
          <w:rFonts w:ascii="Times New Roman" w:eastAsia="Calibri" w:hAnsi="Times New Roman" w:cs="Times New Roman"/>
          <w:b/>
          <w:bCs/>
          <w:sz w:val="24"/>
          <w:szCs w:val="24"/>
        </w:rPr>
        <w:t xml:space="preserve">of </w:t>
      </w:r>
      <w:r w:rsidRPr="00477B22">
        <w:rPr>
          <w:rFonts w:ascii="Times New Roman" w:eastAsia="Calibri" w:hAnsi="Times New Roman" w:cs="Times New Roman"/>
          <w:b/>
          <w:bCs/>
          <w:sz w:val="24"/>
          <w:szCs w:val="24"/>
        </w:rPr>
        <w:t>Behavioral Sciences</w:t>
      </w:r>
    </w:p>
    <w:p w14:paraId="75D96FCC" w14:textId="77777777" w:rsidR="00477B22" w:rsidRPr="00477B22" w:rsidRDefault="00477B22" w:rsidP="007C217B">
      <w:pPr>
        <w:spacing w:before="5"/>
        <w:jc w:val="center"/>
        <w:rPr>
          <w:rFonts w:ascii="Times New Roman" w:eastAsia="Calibri" w:hAnsi="Times New Roman" w:cs="Times New Roman"/>
          <w:b/>
          <w:bCs/>
          <w:sz w:val="24"/>
          <w:szCs w:val="24"/>
        </w:rPr>
      </w:pPr>
      <w:r w:rsidRPr="00477B22">
        <w:rPr>
          <w:rFonts w:ascii="Times New Roman" w:eastAsia="Calibri" w:hAnsi="Times New Roman" w:cs="Times New Roman"/>
          <w:b/>
          <w:bCs/>
          <w:sz w:val="24"/>
          <w:szCs w:val="24"/>
        </w:rPr>
        <w:t>Description and Learning Outcomes for the Holistic Health and Well-Being Certificate</w:t>
      </w:r>
    </w:p>
    <w:p w14:paraId="31A2C9E4" w14:textId="77777777" w:rsidR="000359A1" w:rsidRPr="00477B22" w:rsidRDefault="000359A1">
      <w:pPr>
        <w:spacing w:before="2"/>
        <w:rPr>
          <w:rFonts w:ascii="Times New Roman" w:eastAsia="Calibri" w:hAnsi="Times New Roman" w:cs="Times New Roman"/>
          <w:b/>
          <w:bCs/>
          <w:sz w:val="24"/>
          <w:szCs w:val="24"/>
        </w:rPr>
      </w:pPr>
    </w:p>
    <w:p w14:paraId="4D27EF24" w14:textId="77777777" w:rsidR="00477B22" w:rsidRDefault="00477B22" w:rsidP="00477B22">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The certificate in Holistic Health and Well-Being</w:t>
      </w:r>
      <w:r>
        <w:rPr>
          <w:rFonts w:ascii="Times New Roman" w:eastAsia="Times New Roman" w:hAnsi="Times New Roman" w:cs="Times New Roman"/>
          <w:sz w:val="24"/>
          <w:szCs w:val="24"/>
        </w:rPr>
        <w:t> provides students with a set of skills to help them live a better life. The certificate introduces holistic health practices and explores the ways in which social factors such as race, class, gender, and physical environment affect individual and community wellness. Students also investigate the ways in which technology has both enriched and impaired their lives. In the capstone, students implement a holistic self-intervention strategy to promote a healthier lifestyle and design a community-focused health intervention to improve the lives of others.</w:t>
      </w:r>
    </w:p>
    <w:p w14:paraId="100E2494" w14:textId="77777777" w:rsidR="00477B22" w:rsidRDefault="00477B22">
      <w:pPr>
        <w:spacing w:before="2"/>
        <w:rPr>
          <w:rFonts w:ascii="Calibri" w:eastAsia="Calibri" w:hAnsi="Calibri" w:cs="Calibri"/>
          <w:b/>
          <w:bCs/>
          <w:sz w:val="19"/>
          <w:szCs w:val="19"/>
        </w:rPr>
      </w:pPr>
    </w:p>
    <w:p w14:paraId="099DF5D8" w14:textId="77777777" w:rsidR="00477B22" w:rsidRPr="00477B22" w:rsidRDefault="00477B22">
      <w:pPr>
        <w:spacing w:before="2"/>
        <w:rPr>
          <w:rFonts w:ascii="Times New Roman" w:eastAsia="Calibri" w:hAnsi="Times New Roman" w:cs="Times New Roman"/>
          <w:b/>
          <w:bCs/>
          <w:sz w:val="24"/>
          <w:szCs w:val="24"/>
        </w:rPr>
      </w:pPr>
      <w:r w:rsidRPr="00477B22">
        <w:rPr>
          <w:rFonts w:ascii="Times New Roman" w:eastAsia="Calibri" w:hAnsi="Times New Roman" w:cs="Times New Roman"/>
          <w:b/>
          <w:bCs/>
          <w:sz w:val="24"/>
          <w:szCs w:val="24"/>
        </w:rPr>
        <w:t>Learning Outcomes:</w:t>
      </w:r>
    </w:p>
    <w:p w14:paraId="0BED1C2A" w14:textId="77777777" w:rsidR="00477B22" w:rsidRPr="00477B22" w:rsidRDefault="00477B22">
      <w:pPr>
        <w:spacing w:before="2"/>
        <w:rPr>
          <w:rFonts w:ascii="Calibri" w:eastAsia="Calibri" w:hAnsi="Calibri" w:cs="Calibri"/>
          <w:b/>
          <w:bCs/>
          <w:sz w:val="24"/>
          <w:szCs w:val="24"/>
        </w:rPr>
      </w:pPr>
    </w:p>
    <w:p w14:paraId="225E2FAE" w14:textId="77777777" w:rsidR="00477B22" w:rsidRPr="00477B22" w:rsidRDefault="00477B22" w:rsidP="00477B22">
      <w:pPr>
        <w:pStyle w:val="Default"/>
        <w:spacing w:after="27"/>
        <w:ind w:left="720" w:hanging="720"/>
      </w:pPr>
      <w:r w:rsidRPr="00477B22">
        <w:t xml:space="preserve">1. </w:t>
      </w:r>
      <w:r w:rsidRPr="00477B22">
        <w:tab/>
        <w:t xml:space="preserve">Demonstrate a comprehensive understanding of the arc of human health and illness from ancient times when pathogens ruled and plagues ensued, to our contemporary era where progress in human health is in question. </w:t>
      </w:r>
    </w:p>
    <w:p w14:paraId="1257F770" w14:textId="77777777" w:rsidR="00477B22" w:rsidRPr="00477B22" w:rsidRDefault="00477B22" w:rsidP="00477B22">
      <w:pPr>
        <w:pStyle w:val="Default"/>
        <w:spacing w:after="27"/>
        <w:ind w:left="720" w:hanging="720"/>
      </w:pPr>
      <w:r w:rsidRPr="00477B22">
        <w:t xml:space="preserve">2. </w:t>
      </w:r>
      <w:r w:rsidRPr="00477B22">
        <w:tab/>
        <w:t xml:space="preserve">Demonstrate through participation the ways in which activities in holistic health and positive psychology can be used to elicit relaxation, increase resiliency, and optimize health. </w:t>
      </w:r>
    </w:p>
    <w:p w14:paraId="53BC3344" w14:textId="77777777" w:rsidR="00477B22" w:rsidRPr="00477B22" w:rsidRDefault="00477B22" w:rsidP="00477B22">
      <w:pPr>
        <w:pStyle w:val="Default"/>
        <w:spacing w:after="27"/>
        <w:ind w:left="720" w:hanging="720"/>
      </w:pPr>
      <w:r w:rsidRPr="00477B22">
        <w:t xml:space="preserve">3. </w:t>
      </w:r>
      <w:r w:rsidRPr="00477B22">
        <w:tab/>
        <w:t xml:space="preserve">Demonstrate an understanding of sociological concepts of health and illness, as well as the political, economic, cultural, and environmental factors that shape health, illness, and health disparities in the US and globally. </w:t>
      </w:r>
    </w:p>
    <w:p w14:paraId="76079EA7" w14:textId="77777777" w:rsidR="00477B22" w:rsidRPr="00477B22" w:rsidRDefault="00477B22" w:rsidP="00477B22">
      <w:pPr>
        <w:pStyle w:val="Default"/>
        <w:spacing w:after="27"/>
        <w:ind w:left="720" w:hanging="720"/>
      </w:pPr>
      <w:r w:rsidRPr="00477B22">
        <w:t>4.</w:t>
      </w:r>
      <w:r w:rsidRPr="00477B22">
        <w:tab/>
        <w:t xml:space="preserve">Demonstrate an understanding of theoretical models for sustainable and positive behavior change and apply such models on both individual- and community-based levels. </w:t>
      </w:r>
    </w:p>
    <w:p w14:paraId="1D5E5C8A" w14:textId="77777777" w:rsidR="00477B22" w:rsidRPr="00477B22" w:rsidRDefault="00477B22" w:rsidP="00477B22">
      <w:pPr>
        <w:pStyle w:val="Default"/>
        <w:ind w:left="720" w:hanging="720"/>
      </w:pPr>
      <w:r w:rsidRPr="00477B22">
        <w:t xml:space="preserve">5. </w:t>
      </w:r>
      <w:r w:rsidRPr="00477B22">
        <w:tab/>
        <w:t xml:space="preserve">Experience the benefits, challenges, and potential pathological reactions to being “unplugged” in a technology-mediated society. </w:t>
      </w:r>
    </w:p>
    <w:p w14:paraId="4810D4F4" w14:textId="77777777" w:rsidR="000359A1" w:rsidRPr="00477B22" w:rsidRDefault="000359A1">
      <w:pPr>
        <w:spacing w:before="2"/>
        <w:rPr>
          <w:rFonts w:ascii="Calibri" w:eastAsia="Calibri" w:hAnsi="Calibri" w:cs="Calibri"/>
          <w:b/>
          <w:bCs/>
          <w:sz w:val="24"/>
          <w:szCs w:val="24"/>
        </w:rPr>
      </w:pPr>
    </w:p>
    <w:p w14:paraId="48C65EAB" w14:textId="77777777" w:rsidR="00477B22" w:rsidRPr="00477B22" w:rsidRDefault="00477B22">
      <w:pPr>
        <w:spacing w:before="9"/>
        <w:rPr>
          <w:rFonts w:ascii="Times New Roman" w:eastAsia="Calibri" w:hAnsi="Times New Roman" w:cs="Times New Roman"/>
          <w:b/>
          <w:sz w:val="24"/>
          <w:szCs w:val="24"/>
        </w:rPr>
      </w:pPr>
      <w:r w:rsidRPr="00477B22">
        <w:rPr>
          <w:rFonts w:ascii="Times New Roman" w:eastAsia="Calibri" w:hAnsi="Times New Roman" w:cs="Times New Roman"/>
          <w:b/>
          <w:sz w:val="24"/>
          <w:szCs w:val="24"/>
        </w:rPr>
        <w:t>Learning Outcomes Assessed in Each Course:</w:t>
      </w:r>
    </w:p>
    <w:p w14:paraId="7D2AB1A4" w14:textId="77777777" w:rsidR="00477B22" w:rsidRDefault="00477B22">
      <w:pPr>
        <w:spacing w:before="9"/>
        <w:rPr>
          <w:rFonts w:ascii="Calibri" w:eastAsia="Calibri" w:hAnsi="Calibri" w:cs="Calibri"/>
          <w:sz w:val="23"/>
          <w:szCs w:val="23"/>
        </w:rPr>
      </w:pPr>
    </w:p>
    <w:tbl>
      <w:tblPr>
        <w:tblW w:w="0" w:type="auto"/>
        <w:tblInd w:w="105" w:type="dxa"/>
        <w:tblLayout w:type="fixed"/>
        <w:tblCellMar>
          <w:left w:w="0" w:type="dxa"/>
          <w:right w:w="0" w:type="dxa"/>
        </w:tblCellMar>
        <w:tblLook w:val="01E0" w:firstRow="1" w:lastRow="1" w:firstColumn="1" w:lastColumn="1" w:noHBand="0" w:noVBand="0"/>
      </w:tblPr>
      <w:tblGrid>
        <w:gridCol w:w="1598"/>
        <w:gridCol w:w="720"/>
        <w:gridCol w:w="725"/>
        <w:gridCol w:w="720"/>
        <w:gridCol w:w="720"/>
        <w:gridCol w:w="725"/>
      </w:tblGrid>
      <w:tr w:rsidR="000359A1" w:rsidRPr="00477B22" w14:paraId="58557016"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69EDD384" w14:textId="77777777" w:rsidR="000359A1" w:rsidRPr="00477B22" w:rsidRDefault="000359A1">
            <w:pPr>
              <w:pStyle w:val="TableParagraph"/>
              <w:spacing w:before="1" w:line="290" w:lineRule="exact"/>
              <w:ind w:left="104"/>
              <w:rPr>
                <w:rFonts w:ascii="Times New Roman" w:eastAsia="Calibri" w:hAnsi="Times New Roman" w:cs="Times New Roman"/>
                <w:b/>
                <w:sz w:val="24"/>
                <w:szCs w:val="24"/>
              </w:rPr>
            </w:pPr>
            <w:r w:rsidRPr="00477B22">
              <w:rPr>
                <w:rFonts w:ascii="Times New Roman" w:hAnsi="Times New Roman" w:cs="Times New Roman"/>
                <w:b/>
                <w:spacing w:val="-1"/>
                <w:sz w:val="24"/>
                <w:szCs w:val="24"/>
              </w:rPr>
              <w:t>Course</w:t>
            </w:r>
          </w:p>
        </w:tc>
        <w:tc>
          <w:tcPr>
            <w:tcW w:w="720" w:type="dxa"/>
            <w:tcBorders>
              <w:top w:val="single" w:sz="5" w:space="0" w:color="000000"/>
              <w:left w:val="single" w:sz="5" w:space="0" w:color="000000"/>
              <w:bottom w:val="single" w:sz="5" w:space="0" w:color="000000"/>
              <w:right w:val="single" w:sz="5" w:space="0" w:color="000000"/>
            </w:tcBorders>
          </w:tcPr>
          <w:p w14:paraId="63D8615E" w14:textId="77777777" w:rsidR="000359A1" w:rsidRPr="00477B22" w:rsidRDefault="000359A1">
            <w:pPr>
              <w:pStyle w:val="TableParagraph"/>
              <w:spacing w:before="1" w:line="290" w:lineRule="exact"/>
              <w:jc w:val="center"/>
              <w:rPr>
                <w:rFonts w:ascii="Times New Roman" w:eastAsia="Calibri" w:hAnsi="Times New Roman" w:cs="Times New Roman"/>
                <w:b/>
                <w:sz w:val="24"/>
                <w:szCs w:val="24"/>
              </w:rPr>
            </w:pPr>
            <w:r w:rsidRPr="00477B22">
              <w:rPr>
                <w:rFonts w:ascii="Times New Roman" w:hAnsi="Times New Roman" w:cs="Times New Roman"/>
                <w:b/>
                <w:sz w:val="24"/>
                <w:szCs w:val="24"/>
              </w:rPr>
              <w:t>LO1</w:t>
            </w:r>
          </w:p>
        </w:tc>
        <w:tc>
          <w:tcPr>
            <w:tcW w:w="725" w:type="dxa"/>
            <w:tcBorders>
              <w:top w:val="single" w:sz="5" w:space="0" w:color="000000"/>
              <w:left w:val="single" w:sz="5" w:space="0" w:color="000000"/>
              <w:bottom w:val="single" w:sz="5" w:space="0" w:color="000000"/>
              <w:right w:val="single" w:sz="5" w:space="0" w:color="000000"/>
            </w:tcBorders>
          </w:tcPr>
          <w:p w14:paraId="7F1C3AFF" w14:textId="77777777" w:rsidR="000359A1" w:rsidRPr="00477B22" w:rsidRDefault="000359A1">
            <w:pPr>
              <w:pStyle w:val="TableParagraph"/>
              <w:spacing w:before="1" w:line="290" w:lineRule="exact"/>
              <w:ind w:left="1"/>
              <w:jc w:val="center"/>
              <w:rPr>
                <w:rFonts w:ascii="Times New Roman" w:eastAsia="Calibri" w:hAnsi="Times New Roman" w:cs="Times New Roman"/>
                <w:b/>
                <w:sz w:val="24"/>
                <w:szCs w:val="24"/>
              </w:rPr>
            </w:pPr>
            <w:r w:rsidRPr="00477B22">
              <w:rPr>
                <w:rFonts w:ascii="Times New Roman" w:hAnsi="Times New Roman" w:cs="Times New Roman"/>
                <w:b/>
                <w:sz w:val="24"/>
                <w:szCs w:val="24"/>
              </w:rPr>
              <w:t>LO2</w:t>
            </w:r>
          </w:p>
        </w:tc>
        <w:tc>
          <w:tcPr>
            <w:tcW w:w="720" w:type="dxa"/>
            <w:tcBorders>
              <w:top w:val="single" w:sz="5" w:space="0" w:color="000000"/>
              <w:left w:val="single" w:sz="5" w:space="0" w:color="000000"/>
              <w:bottom w:val="single" w:sz="5" w:space="0" w:color="000000"/>
              <w:right w:val="single" w:sz="5" w:space="0" w:color="000000"/>
            </w:tcBorders>
          </w:tcPr>
          <w:p w14:paraId="79103F65" w14:textId="77777777" w:rsidR="000359A1" w:rsidRPr="00477B22" w:rsidRDefault="000359A1">
            <w:pPr>
              <w:pStyle w:val="TableParagraph"/>
              <w:spacing w:before="1" w:line="290" w:lineRule="exact"/>
              <w:jc w:val="center"/>
              <w:rPr>
                <w:rFonts w:ascii="Times New Roman" w:eastAsia="Calibri" w:hAnsi="Times New Roman" w:cs="Times New Roman"/>
                <w:b/>
                <w:sz w:val="24"/>
                <w:szCs w:val="24"/>
              </w:rPr>
            </w:pPr>
            <w:r w:rsidRPr="00477B22">
              <w:rPr>
                <w:rFonts w:ascii="Times New Roman" w:hAnsi="Times New Roman" w:cs="Times New Roman"/>
                <w:b/>
                <w:sz w:val="24"/>
                <w:szCs w:val="24"/>
              </w:rPr>
              <w:t>LO3</w:t>
            </w:r>
          </w:p>
        </w:tc>
        <w:tc>
          <w:tcPr>
            <w:tcW w:w="720" w:type="dxa"/>
            <w:tcBorders>
              <w:top w:val="single" w:sz="5" w:space="0" w:color="000000"/>
              <w:left w:val="single" w:sz="5" w:space="0" w:color="000000"/>
              <w:bottom w:val="single" w:sz="5" w:space="0" w:color="000000"/>
              <w:right w:val="single" w:sz="5" w:space="0" w:color="000000"/>
            </w:tcBorders>
          </w:tcPr>
          <w:p w14:paraId="7F5D0225" w14:textId="77777777" w:rsidR="000359A1" w:rsidRPr="00477B22" w:rsidRDefault="000359A1">
            <w:pPr>
              <w:pStyle w:val="TableParagraph"/>
              <w:spacing w:before="1" w:line="290" w:lineRule="exact"/>
              <w:ind w:left="6"/>
              <w:jc w:val="center"/>
              <w:rPr>
                <w:rFonts w:ascii="Times New Roman" w:eastAsia="Calibri" w:hAnsi="Times New Roman" w:cs="Times New Roman"/>
                <w:b/>
                <w:sz w:val="24"/>
                <w:szCs w:val="24"/>
              </w:rPr>
            </w:pPr>
            <w:r w:rsidRPr="00477B22">
              <w:rPr>
                <w:rFonts w:ascii="Times New Roman" w:hAnsi="Times New Roman" w:cs="Times New Roman"/>
                <w:b/>
                <w:sz w:val="24"/>
                <w:szCs w:val="24"/>
              </w:rPr>
              <w:t>LO4</w:t>
            </w:r>
          </w:p>
        </w:tc>
        <w:tc>
          <w:tcPr>
            <w:tcW w:w="725" w:type="dxa"/>
            <w:tcBorders>
              <w:top w:val="single" w:sz="5" w:space="0" w:color="000000"/>
              <w:left w:val="single" w:sz="5" w:space="0" w:color="000000"/>
              <w:bottom w:val="single" w:sz="5" w:space="0" w:color="000000"/>
              <w:right w:val="single" w:sz="5" w:space="0" w:color="000000"/>
            </w:tcBorders>
          </w:tcPr>
          <w:p w14:paraId="2E283A68" w14:textId="77777777" w:rsidR="000359A1" w:rsidRPr="00477B22" w:rsidRDefault="000359A1">
            <w:pPr>
              <w:pStyle w:val="TableParagraph"/>
              <w:spacing w:before="1" w:line="290" w:lineRule="exact"/>
              <w:ind w:left="2"/>
              <w:jc w:val="center"/>
              <w:rPr>
                <w:rFonts w:ascii="Times New Roman" w:eastAsia="Calibri" w:hAnsi="Times New Roman" w:cs="Times New Roman"/>
                <w:b/>
                <w:sz w:val="24"/>
                <w:szCs w:val="24"/>
              </w:rPr>
            </w:pPr>
            <w:r w:rsidRPr="00477B22">
              <w:rPr>
                <w:rFonts w:ascii="Times New Roman" w:hAnsi="Times New Roman" w:cs="Times New Roman"/>
                <w:b/>
                <w:sz w:val="24"/>
                <w:szCs w:val="24"/>
              </w:rPr>
              <w:t>LO5</w:t>
            </w:r>
          </w:p>
        </w:tc>
      </w:tr>
      <w:tr w:rsidR="000359A1" w:rsidRPr="00477B22" w14:paraId="261FDBE9"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60B9E0B2" w14:textId="77777777" w:rsidR="000359A1" w:rsidRPr="00477B22" w:rsidRDefault="00477B22">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BIOL 271</w:t>
            </w:r>
          </w:p>
        </w:tc>
        <w:tc>
          <w:tcPr>
            <w:tcW w:w="720" w:type="dxa"/>
            <w:tcBorders>
              <w:top w:val="single" w:sz="5" w:space="0" w:color="000000"/>
              <w:left w:val="single" w:sz="5" w:space="0" w:color="000000"/>
              <w:bottom w:val="single" w:sz="5" w:space="0" w:color="000000"/>
              <w:right w:val="single" w:sz="5" w:space="0" w:color="000000"/>
            </w:tcBorders>
          </w:tcPr>
          <w:p w14:paraId="55EDEB4C" w14:textId="6BC19E7C" w:rsidR="000359A1" w:rsidRPr="00477B22" w:rsidRDefault="00A03C27">
            <w:pPr>
              <w:pStyle w:val="TableParagraph"/>
              <w:spacing w:before="1" w:line="29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2368AC43" w14:textId="77777777" w:rsidR="000359A1" w:rsidRPr="00477B22" w:rsidRDefault="000359A1">
            <w:pP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01A53E2A" w14:textId="77777777" w:rsidR="000359A1" w:rsidRPr="00477B22" w:rsidRDefault="000359A1">
            <w:pP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3B4E9119" w14:textId="77777777" w:rsidR="000359A1" w:rsidRPr="00477B22" w:rsidRDefault="000359A1">
            <w:pPr>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50213CA1" w14:textId="1E5B3881" w:rsidR="000359A1" w:rsidRPr="00477B22" w:rsidRDefault="00A03C27" w:rsidP="00A03C27">
            <w:pPr>
              <w:jc w:val="center"/>
              <w:rPr>
                <w:rFonts w:ascii="Times New Roman" w:hAnsi="Times New Roman" w:cs="Times New Roman"/>
                <w:sz w:val="24"/>
                <w:szCs w:val="24"/>
              </w:rPr>
            </w:pPr>
            <w:r>
              <w:rPr>
                <w:rFonts w:ascii="Times New Roman" w:hAnsi="Times New Roman" w:cs="Times New Roman"/>
                <w:sz w:val="24"/>
                <w:szCs w:val="24"/>
              </w:rPr>
              <w:t>X</w:t>
            </w:r>
          </w:p>
        </w:tc>
      </w:tr>
      <w:tr w:rsidR="000359A1" w:rsidRPr="00477B22" w14:paraId="5861E826"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2F4430F1" w14:textId="77777777" w:rsidR="000359A1" w:rsidRPr="00477B22" w:rsidRDefault="00477B22">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PSYC 372</w:t>
            </w:r>
          </w:p>
        </w:tc>
        <w:tc>
          <w:tcPr>
            <w:tcW w:w="720" w:type="dxa"/>
            <w:tcBorders>
              <w:top w:val="single" w:sz="5" w:space="0" w:color="000000"/>
              <w:left w:val="single" w:sz="5" w:space="0" w:color="000000"/>
              <w:bottom w:val="single" w:sz="5" w:space="0" w:color="000000"/>
              <w:right w:val="single" w:sz="5" w:space="0" w:color="000000"/>
            </w:tcBorders>
          </w:tcPr>
          <w:p w14:paraId="66166956" w14:textId="77777777" w:rsidR="000359A1" w:rsidRPr="00477B22" w:rsidRDefault="000359A1">
            <w:pPr>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04D3F5A4" w14:textId="2EF25057" w:rsidR="000359A1" w:rsidRPr="00477B22" w:rsidRDefault="00A03C27" w:rsidP="000359A1">
            <w:pPr>
              <w:pStyle w:val="TableParagraph"/>
              <w:spacing w:before="1" w:line="290" w:lineRule="exact"/>
              <w:ind w:left="1"/>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52834F8C" w14:textId="77777777" w:rsidR="000359A1" w:rsidRPr="00477B22" w:rsidRDefault="000359A1" w:rsidP="000359A1">
            <w:pPr>
              <w:jc w:val="cente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128F85D4" w14:textId="77777777" w:rsidR="000359A1" w:rsidRPr="00477B22" w:rsidRDefault="000359A1" w:rsidP="000359A1">
            <w:pPr>
              <w:jc w:val="center"/>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270DD2EF" w14:textId="77777777" w:rsidR="000359A1" w:rsidRPr="00477B22" w:rsidRDefault="000359A1" w:rsidP="000359A1">
            <w:pPr>
              <w:jc w:val="center"/>
              <w:rPr>
                <w:rFonts w:ascii="Times New Roman" w:hAnsi="Times New Roman" w:cs="Times New Roman"/>
                <w:sz w:val="24"/>
                <w:szCs w:val="24"/>
              </w:rPr>
            </w:pPr>
          </w:p>
        </w:tc>
      </w:tr>
      <w:tr w:rsidR="000359A1" w:rsidRPr="00477B22" w14:paraId="6F8C3765"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3F13E507" w14:textId="77777777" w:rsidR="000359A1" w:rsidRPr="00477B22" w:rsidRDefault="00477B22">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SOCI 373</w:t>
            </w:r>
          </w:p>
        </w:tc>
        <w:tc>
          <w:tcPr>
            <w:tcW w:w="720" w:type="dxa"/>
            <w:tcBorders>
              <w:top w:val="single" w:sz="5" w:space="0" w:color="000000"/>
              <w:left w:val="single" w:sz="5" w:space="0" w:color="000000"/>
              <w:bottom w:val="single" w:sz="5" w:space="0" w:color="000000"/>
              <w:right w:val="single" w:sz="5" w:space="0" w:color="000000"/>
            </w:tcBorders>
          </w:tcPr>
          <w:p w14:paraId="7946149B" w14:textId="77777777" w:rsidR="000359A1" w:rsidRPr="00477B22" w:rsidRDefault="000359A1">
            <w:pPr>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10918110" w14:textId="77777777" w:rsidR="000359A1" w:rsidRPr="00477B22" w:rsidRDefault="000359A1" w:rsidP="000359A1">
            <w:pPr>
              <w:jc w:val="cente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3910F4F1" w14:textId="3B2F3D9B" w:rsidR="000359A1" w:rsidRPr="00477B22" w:rsidRDefault="00A03C27" w:rsidP="000359A1">
            <w:pPr>
              <w:pStyle w:val="TableParagraph"/>
              <w:spacing w:before="1" w:line="29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5A9188E2" w14:textId="77777777" w:rsidR="000359A1" w:rsidRPr="00477B22" w:rsidRDefault="000359A1" w:rsidP="000359A1">
            <w:pPr>
              <w:pStyle w:val="TableParagraph"/>
              <w:spacing w:before="1" w:line="290" w:lineRule="exact"/>
              <w:ind w:left="6"/>
              <w:jc w:val="center"/>
              <w:rPr>
                <w:rFonts w:ascii="Times New Roman" w:eastAsia="Calibri"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1C3D1CF2" w14:textId="77777777" w:rsidR="000359A1" w:rsidRPr="00477B22" w:rsidRDefault="000359A1" w:rsidP="000359A1">
            <w:pPr>
              <w:jc w:val="center"/>
              <w:rPr>
                <w:rFonts w:ascii="Times New Roman" w:hAnsi="Times New Roman" w:cs="Times New Roman"/>
                <w:sz w:val="24"/>
                <w:szCs w:val="24"/>
              </w:rPr>
            </w:pPr>
          </w:p>
        </w:tc>
      </w:tr>
      <w:tr w:rsidR="000359A1" w:rsidRPr="00477B22" w14:paraId="0DBB6582"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71360278" w14:textId="77777777" w:rsidR="000359A1" w:rsidRPr="00477B22" w:rsidRDefault="00477B22">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PSYC 374</w:t>
            </w:r>
          </w:p>
        </w:tc>
        <w:tc>
          <w:tcPr>
            <w:tcW w:w="720" w:type="dxa"/>
            <w:tcBorders>
              <w:top w:val="single" w:sz="5" w:space="0" w:color="000000"/>
              <w:left w:val="single" w:sz="5" w:space="0" w:color="000000"/>
              <w:bottom w:val="single" w:sz="5" w:space="0" w:color="000000"/>
              <w:right w:val="single" w:sz="5" w:space="0" w:color="000000"/>
            </w:tcBorders>
          </w:tcPr>
          <w:p w14:paraId="40099B46" w14:textId="77777777" w:rsidR="000359A1" w:rsidRPr="00477B22" w:rsidRDefault="000359A1">
            <w:pPr>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4B9692A3" w14:textId="77777777" w:rsidR="000359A1" w:rsidRPr="00477B22" w:rsidRDefault="000359A1" w:rsidP="000359A1">
            <w:pPr>
              <w:jc w:val="cente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6A84589F" w14:textId="77777777" w:rsidR="000359A1" w:rsidRPr="00477B22" w:rsidRDefault="000359A1" w:rsidP="000359A1">
            <w:pPr>
              <w:jc w:val="cente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7248AAB1" w14:textId="2100EA75" w:rsidR="000359A1" w:rsidRPr="00477B22" w:rsidRDefault="00A03C27" w:rsidP="000359A1">
            <w:pPr>
              <w:pStyle w:val="TableParagraph"/>
              <w:spacing w:before="1" w:line="290" w:lineRule="exact"/>
              <w:ind w:left="6"/>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68C94DD2" w14:textId="77777777" w:rsidR="000359A1" w:rsidRPr="00477B22" w:rsidRDefault="000359A1" w:rsidP="000359A1">
            <w:pPr>
              <w:pStyle w:val="TableParagraph"/>
              <w:spacing w:before="1" w:line="290" w:lineRule="exact"/>
              <w:ind w:left="2"/>
              <w:jc w:val="center"/>
              <w:rPr>
                <w:rFonts w:ascii="Times New Roman" w:eastAsia="Calibri" w:hAnsi="Times New Roman" w:cs="Times New Roman"/>
                <w:sz w:val="24"/>
                <w:szCs w:val="24"/>
              </w:rPr>
            </w:pPr>
          </w:p>
        </w:tc>
      </w:tr>
    </w:tbl>
    <w:p w14:paraId="6931D523" w14:textId="77777777" w:rsidR="00E963B1" w:rsidRDefault="00E963B1"/>
    <w:p w14:paraId="37CA804C" w14:textId="77777777" w:rsidR="00A61294" w:rsidRDefault="00A61294"/>
    <w:sectPr w:rsidR="00A61294">
      <w:type w:val="continuous"/>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0A7C"/>
    <w:multiLevelType w:val="hybridMultilevel"/>
    <w:tmpl w:val="BA4697D4"/>
    <w:lvl w:ilvl="0" w:tplc="33FE2304">
      <w:start w:val="1"/>
      <w:numFmt w:val="decimal"/>
      <w:lvlText w:val="%1."/>
      <w:lvlJc w:val="left"/>
      <w:pPr>
        <w:ind w:left="922" w:hanging="720"/>
        <w:jc w:val="left"/>
      </w:pPr>
      <w:rPr>
        <w:rFonts w:ascii="Calibri" w:eastAsia="Calibri" w:hAnsi="Calibri" w:hint="default"/>
        <w:sz w:val="24"/>
        <w:szCs w:val="24"/>
      </w:rPr>
    </w:lvl>
    <w:lvl w:ilvl="1" w:tplc="D362019C">
      <w:start w:val="1"/>
      <w:numFmt w:val="bullet"/>
      <w:lvlText w:val="•"/>
      <w:lvlJc w:val="left"/>
      <w:pPr>
        <w:ind w:left="1736" w:hanging="720"/>
      </w:pPr>
      <w:rPr>
        <w:rFonts w:hint="default"/>
      </w:rPr>
    </w:lvl>
    <w:lvl w:ilvl="2" w:tplc="00D2C384">
      <w:start w:val="1"/>
      <w:numFmt w:val="bullet"/>
      <w:lvlText w:val="•"/>
      <w:lvlJc w:val="left"/>
      <w:pPr>
        <w:ind w:left="2550" w:hanging="720"/>
      </w:pPr>
      <w:rPr>
        <w:rFonts w:hint="default"/>
      </w:rPr>
    </w:lvl>
    <w:lvl w:ilvl="3" w:tplc="297A7042">
      <w:start w:val="1"/>
      <w:numFmt w:val="bullet"/>
      <w:lvlText w:val="•"/>
      <w:lvlJc w:val="left"/>
      <w:pPr>
        <w:ind w:left="3363" w:hanging="720"/>
      </w:pPr>
      <w:rPr>
        <w:rFonts w:hint="default"/>
      </w:rPr>
    </w:lvl>
    <w:lvl w:ilvl="4" w:tplc="F6629E4A">
      <w:start w:val="1"/>
      <w:numFmt w:val="bullet"/>
      <w:lvlText w:val="•"/>
      <w:lvlJc w:val="left"/>
      <w:pPr>
        <w:ind w:left="4177" w:hanging="720"/>
      </w:pPr>
      <w:rPr>
        <w:rFonts w:hint="default"/>
      </w:rPr>
    </w:lvl>
    <w:lvl w:ilvl="5" w:tplc="FC4A3306">
      <w:start w:val="1"/>
      <w:numFmt w:val="bullet"/>
      <w:lvlText w:val="•"/>
      <w:lvlJc w:val="left"/>
      <w:pPr>
        <w:ind w:left="4991" w:hanging="720"/>
      </w:pPr>
      <w:rPr>
        <w:rFonts w:hint="default"/>
      </w:rPr>
    </w:lvl>
    <w:lvl w:ilvl="6" w:tplc="CF42A588">
      <w:start w:val="1"/>
      <w:numFmt w:val="bullet"/>
      <w:lvlText w:val="•"/>
      <w:lvlJc w:val="left"/>
      <w:pPr>
        <w:ind w:left="5805" w:hanging="720"/>
      </w:pPr>
      <w:rPr>
        <w:rFonts w:hint="default"/>
      </w:rPr>
    </w:lvl>
    <w:lvl w:ilvl="7" w:tplc="FB3837CA">
      <w:start w:val="1"/>
      <w:numFmt w:val="bullet"/>
      <w:lvlText w:val="•"/>
      <w:lvlJc w:val="left"/>
      <w:pPr>
        <w:ind w:left="6618" w:hanging="720"/>
      </w:pPr>
      <w:rPr>
        <w:rFonts w:hint="default"/>
      </w:rPr>
    </w:lvl>
    <w:lvl w:ilvl="8" w:tplc="A3D83F60">
      <w:start w:val="1"/>
      <w:numFmt w:val="bullet"/>
      <w:lvlText w:val="•"/>
      <w:lvlJc w:val="left"/>
      <w:pPr>
        <w:ind w:left="743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A8"/>
    <w:rsid w:val="000359A1"/>
    <w:rsid w:val="001F42DE"/>
    <w:rsid w:val="00477B22"/>
    <w:rsid w:val="00731194"/>
    <w:rsid w:val="007C217B"/>
    <w:rsid w:val="00A03C27"/>
    <w:rsid w:val="00A61294"/>
    <w:rsid w:val="00B322A8"/>
    <w:rsid w:val="00E963B1"/>
    <w:rsid w:val="00F5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44B5"/>
  <w15:docId w15:val="{5103DFD5-1F81-4DA9-98D5-5B11FA8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2" w:hanging="7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77B22"/>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Arts Admin Learning Objectives.docx</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Arts Admin Learning Objectives.docx</dc:title>
  <dc:creator>Rebecca Miller</dc:creator>
  <cp:lastModifiedBy>Marline Faherty</cp:lastModifiedBy>
  <cp:revision>2</cp:revision>
  <cp:lastPrinted>2021-04-13T11:04:00Z</cp:lastPrinted>
  <dcterms:created xsi:type="dcterms:W3CDTF">2021-04-13T13:02:00Z</dcterms:created>
  <dcterms:modified xsi:type="dcterms:W3CDTF">2021-04-13T13:02:00Z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2019-06-14T00:00:00Z</vt:filetime>
  </property>
</Properties>
</file>